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1"/>
          <w:szCs w:val="21"/>
        </w:rPr>
      </w:pPr>
    </w:p>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1"/>
          <w:szCs w:val="21"/>
        </w:rPr>
      </w:pPr>
    </w:p>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齐商银行现金边柜采购项目报价单</w:t>
      </w:r>
    </w:p>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4"/>
          <w:szCs w:val="24"/>
        </w:rPr>
      </w:pPr>
    </w:p>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both"/>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项目名称：齐商银行智慧柜员机现金边柜设备采购项目</w:t>
      </w:r>
    </w:p>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both"/>
        <w:rPr>
          <w:rFonts w:hint="default"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项目编号：QSYH-2026-XJ202607220001</w:t>
      </w:r>
    </w:p>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1"/>
          <w:szCs w:val="21"/>
        </w:rPr>
      </w:pPr>
    </w:p>
    <w:tbl>
      <w:tblPr>
        <w:tblStyle w:val="5"/>
        <w:tblW w:w="14206" w:type="dxa"/>
        <w:jc w:val="center"/>
        <w:tblCellSpacing w:w="11" w:type="dxa"/>
        <w:tblLayout w:type="autofit"/>
        <w:tblCellMar>
          <w:top w:w="0" w:type="dxa"/>
          <w:left w:w="108" w:type="dxa"/>
          <w:bottom w:w="0" w:type="dxa"/>
          <w:right w:w="108" w:type="dxa"/>
        </w:tblCellMar>
      </w:tblPr>
      <w:tblGrid>
        <w:gridCol w:w="689"/>
        <w:gridCol w:w="838"/>
        <w:gridCol w:w="22"/>
        <w:gridCol w:w="1208"/>
        <w:gridCol w:w="7173"/>
        <w:gridCol w:w="1195"/>
        <w:gridCol w:w="1175"/>
        <w:gridCol w:w="1139"/>
        <w:gridCol w:w="767"/>
      </w:tblGrid>
      <w:tr>
        <w:tblPrEx>
          <w:tblCellMar>
            <w:top w:w="0" w:type="dxa"/>
            <w:left w:w="108" w:type="dxa"/>
            <w:bottom w:w="0" w:type="dxa"/>
            <w:right w:w="108" w:type="dxa"/>
          </w:tblCellMar>
        </w:tblPrEx>
        <w:trPr>
          <w:trHeight w:val="90" w:hRule="atLeast"/>
          <w:tblHeader/>
          <w:tblCellSpacing w:w="11" w:type="dxa"/>
          <w:jc w:val="center"/>
        </w:trPr>
        <w:tc>
          <w:tcPr>
            <w:tcW w:w="657" w:type="dxa"/>
            <w:vMerge w:val="restart"/>
            <w:tcBorders>
              <w:top w:val="single" w:color="auto" w:sz="8" w:space="0"/>
              <w:left w:val="single" w:color="auto" w:sz="8" w:space="0"/>
              <w:right w:val="single" w:color="auto" w:sz="4" w:space="0"/>
            </w:tcBorders>
            <w:shd w:val="clear" w:color="auto" w:fill="auto"/>
            <w:vAlign w:val="center"/>
          </w:tcPr>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1"/>
                <w:szCs w:val="21"/>
              </w:rPr>
            </w:pPr>
          </w:p>
        </w:tc>
        <w:tc>
          <w:tcPr>
            <w:tcW w:w="838" w:type="dxa"/>
            <w:gridSpan w:val="2"/>
            <w:tcBorders>
              <w:top w:val="single" w:color="auto" w:sz="8" w:space="0"/>
              <w:left w:val="single" w:color="auto" w:sz="4" w:space="0"/>
              <w:bottom w:val="single" w:color="auto" w:sz="8" w:space="0"/>
              <w:right w:val="single" w:color="auto" w:sz="8" w:space="0"/>
            </w:tcBorders>
            <w:shd w:val="clear" w:color="auto" w:fill="auto"/>
            <w:vAlign w:val="center"/>
          </w:tcPr>
          <w:p>
            <w:pPr>
              <w:pStyle w:val="4"/>
              <w:keepNext/>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ind w:left="0" w:leftChars="0" w:right="0" w:rightChars="0" w:firstLine="0" w:firstLineChars="0"/>
              <w:jc w:val="center"/>
              <w:rPr>
                <w:rFonts w:hint="eastAsia" w:ascii="仿宋" w:hAnsi="仿宋" w:eastAsia="仿宋" w:cs="仿宋"/>
                <w:b/>
                <w:bCs/>
                <w:color w:val="000000"/>
                <w:kern w:val="0"/>
                <w:sz w:val="21"/>
                <w:szCs w:val="21"/>
                <w:lang w:val="en-US" w:eastAsia="zh-CN" w:bidi="ar"/>
              </w:rPr>
            </w:pPr>
            <w:r>
              <w:rPr>
                <w:rFonts w:hint="eastAsia" w:ascii="仿宋" w:hAnsi="仿宋" w:eastAsia="仿宋" w:cs="仿宋"/>
                <w:b/>
                <w:bCs w:val="0"/>
                <w:i w:val="0"/>
                <w:iCs w:val="0"/>
                <w:caps w:val="0"/>
                <w:spacing w:val="0"/>
                <w:sz w:val="21"/>
                <w:szCs w:val="28"/>
                <w:lang w:val="en-US" w:eastAsia="zh-CN"/>
              </w:rPr>
              <w:br w:type="page"/>
            </w:r>
            <w:r>
              <w:rPr>
                <w:rFonts w:hint="eastAsia" w:ascii="仿宋" w:hAnsi="仿宋" w:eastAsia="仿宋" w:cs="仿宋"/>
                <w:b/>
                <w:bCs/>
                <w:color w:val="000000"/>
                <w:kern w:val="0"/>
                <w:sz w:val="21"/>
                <w:szCs w:val="21"/>
              </w:rPr>
              <w:t>部件名</w:t>
            </w:r>
          </w:p>
        </w:tc>
        <w:tc>
          <w:tcPr>
            <w:tcW w:w="0" w:type="auto"/>
            <w:tcBorders>
              <w:top w:val="single" w:color="auto" w:sz="8" w:space="0"/>
              <w:left w:val="nil"/>
              <w:bottom w:val="single" w:color="auto" w:sz="8" w:space="0"/>
              <w:right w:val="single" w:color="auto" w:sz="8" w:space="0"/>
            </w:tcBorders>
            <w:shd w:val="clear" w:color="auto" w:fill="auto"/>
            <w:vAlign w:val="center"/>
          </w:tcPr>
          <w:p>
            <w:pPr>
              <w:keepNext/>
              <w:widowControl/>
              <w:snapToGrid w:val="0"/>
              <w:spacing w:line="240" w:lineRule="auto"/>
              <w:ind w:left="0" w:leftChars="0" w:right="0" w:rightChars="0" w:firstLine="0" w:firstLineChars="0"/>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标配/选配</w:t>
            </w:r>
          </w:p>
        </w:tc>
        <w:tc>
          <w:tcPr>
            <w:tcW w:w="7152" w:type="dxa"/>
            <w:tcBorders>
              <w:top w:val="single" w:color="auto" w:sz="8" w:space="0"/>
              <w:left w:val="nil"/>
              <w:bottom w:val="single" w:color="auto" w:sz="8" w:space="0"/>
              <w:right w:val="single" w:color="auto" w:sz="8" w:space="0"/>
            </w:tcBorders>
            <w:shd w:val="clear" w:color="auto" w:fill="auto"/>
            <w:vAlign w:val="center"/>
          </w:tcPr>
          <w:p>
            <w:pPr>
              <w:keepNext/>
              <w:widowControl/>
              <w:snapToGrid w:val="0"/>
              <w:spacing w:line="240" w:lineRule="auto"/>
              <w:ind w:left="0" w:leftChars="0" w:right="0" w:rightChars="0" w:firstLine="0" w:firstLineChars="0"/>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性能/规格</w:t>
            </w:r>
          </w:p>
        </w:tc>
        <w:tc>
          <w:tcPr>
            <w:tcW w:w="1173" w:type="dxa"/>
            <w:tcBorders>
              <w:top w:val="single" w:color="auto" w:sz="8" w:space="0"/>
              <w:left w:val="nil"/>
              <w:bottom w:val="single" w:color="auto" w:sz="8" w:space="0"/>
              <w:right w:val="single" w:color="auto" w:sz="8" w:space="0"/>
            </w:tcBorders>
            <w:shd w:val="clear" w:color="auto" w:fill="auto"/>
            <w:vAlign w:val="center"/>
          </w:tcPr>
          <w:p>
            <w:pPr>
              <w:keepNext/>
              <w:widowControl/>
              <w:snapToGrid w:val="0"/>
              <w:spacing w:line="240" w:lineRule="auto"/>
              <w:ind w:left="0" w:leftChars="0" w:right="0" w:rightChars="0" w:firstLine="0" w:firstLineChars="0"/>
              <w:jc w:val="center"/>
              <w:rPr>
                <w:rFonts w:hint="eastAsia" w:ascii="仿宋" w:hAnsi="仿宋" w:eastAsia="仿宋" w:cs="仿宋"/>
                <w:b/>
                <w:bCs/>
                <w:color w:val="000000"/>
                <w:kern w:val="0"/>
                <w:sz w:val="21"/>
                <w:szCs w:val="21"/>
                <w:lang w:val="en-US" w:eastAsia="zh-CN"/>
              </w:rPr>
            </w:pPr>
            <w:r>
              <w:rPr>
                <w:rFonts w:hint="eastAsia" w:ascii="仿宋" w:hAnsi="仿宋" w:eastAsia="仿宋" w:cs="仿宋"/>
                <w:b/>
                <w:bCs/>
                <w:color w:val="000000"/>
                <w:kern w:val="0"/>
                <w:sz w:val="21"/>
                <w:szCs w:val="21"/>
                <w:lang w:val="en-US" w:eastAsia="zh-CN"/>
              </w:rPr>
              <w:t>预算金额</w:t>
            </w:r>
          </w:p>
          <w:p>
            <w:pPr>
              <w:keepNext/>
              <w:widowControl/>
              <w:snapToGrid w:val="0"/>
              <w:spacing w:line="240" w:lineRule="auto"/>
              <w:ind w:left="0" w:leftChars="0" w:right="0" w:rightChars="0" w:firstLine="0" w:firstLineChars="0"/>
              <w:jc w:val="center"/>
              <w:rPr>
                <w:rFonts w:hint="default" w:ascii="仿宋" w:hAnsi="仿宋" w:eastAsia="仿宋" w:cs="仿宋"/>
                <w:b/>
                <w:bCs/>
                <w:color w:val="000000"/>
                <w:kern w:val="0"/>
                <w:sz w:val="21"/>
                <w:szCs w:val="21"/>
                <w:lang w:val="en-US" w:eastAsia="zh-CN"/>
              </w:rPr>
            </w:pPr>
            <w:r>
              <w:rPr>
                <w:rFonts w:hint="eastAsia" w:ascii="仿宋" w:hAnsi="仿宋" w:eastAsia="仿宋" w:cs="仿宋"/>
                <w:b/>
                <w:bCs/>
                <w:color w:val="000000"/>
                <w:kern w:val="0"/>
                <w:sz w:val="21"/>
                <w:szCs w:val="21"/>
                <w:lang w:val="en-US" w:eastAsia="zh-CN"/>
              </w:rPr>
              <w:t>（元）</w:t>
            </w:r>
          </w:p>
        </w:tc>
        <w:tc>
          <w:tcPr>
            <w:tcW w:w="1153" w:type="dxa"/>
            <w:tcBorders>
              <w:top w:val="single" w:color="auto" w:sz="8" w:space="0"/>
              <w:left w:val="nil"/>
              <w:bottom w:val="single" w:color="auto" w:sz="8" w:space="0"/>
              <w:right w:val="single" w:color="auto" w:sz="8" w:space="0"/>
            </w:tcBorders>
            <w:shd w:val="clear" w:color="auto" w:fill="auto"/>
            <w:vAlign w:val="center"/>
          </w:tcPr>
          <w:p>
            <w:pPr>
              <w:keepNext/>
              <w:widowControl/>
              <w:snapToGrid w:val="0"/>
              <w:spacing w:line="240" w:lineRule="auto"/>
              <w:ind w:left="0" w:leftChars="0" w:right="0" w:rightChars="0" w:firstLine="0" w:firstLineChars="0"/>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品牌、型号</w:t>
            </w:r>
          </w:p>
        </w:tc>
        <w:tc>
          <w:tcPr>
            <w:tcW w:w="1117" w:type="dxa"/>
            <w:tcBorders>
              <w:top w:val="single" w:color="auto" w:sz="8" w:space="0"/>
              <w:left w:val="nil"/>
              <w:bottom w:val="single" w:color="auto" w:sz="8" w:space="0"/>
              <w:right w:val="single" w:color="auto" w:sz="8" w:space="0"/>
            </w:tcBorders>
            <w:shd w:val="clear" w:color="auto" w:fill="auto"/>
            <w:vAlign w:val="center"/>
          </w:tcPr>
          <w:p>
            <w:pPr>
              <w:keepNext/>
              <w:widowControl/>
              <w:snapToGrid w:val="0"/>
              <w:spacing w:line="240" w:lineRule="auto"/>
              <w:ind w:left="0" w:leftChars="0" w:right="0" w:rightChars="0" w:firstLine="0" w:firstLineChars="0"/>
              <w:jc w:val="center"/>
              <w:rPr>
                <w:rFonts w:hint="eastAsia" w:ascii="仿宋" w:eastAsia="仿宋"/>
                <w:b/>
                <w:sz w:val="21"/>
              </w:rPr>
            </w:pPr>
            <w:r>
              <w:rPr>
                <w:rFonts w:hint="eastAsia" w:ascii="仿宋" w:eastAsia="仿宋"/>
                <w:b/>
                <w:sz w:val="21"/>
              </w:rPr>
              <w:t>报价</w:t>
            </w:r>
          </w:p>
          <w:p>
            <w:pPr>
              <w:keepNext/>
              <w:widowControl/>
              <w:snapToGrid w:val="0"/>
              <w:spacing w:line="240" w:lineRule="auto"/>
              <w:ind w:left="0" w:leftChars="0" w:right="0" w:rightChars="0" w:firstLine="0" w:firstLineChars="0"/>
              <w:jc w:val="center"/>
              <w:rPr>
                <w:rFonts w:hint="eastAsia" w:ascii="仿宋" w:hAnsi="仿宋" w:eastAsia="仿宋" w:cs="仿宋"/>
                <w:b/>
                <w:bCs/>
                <w:color w:val="000000"/>
                <w:kern w:val="0"/>
                <w:sz w:val="21"/>
                <w:szCs w:val="21"/>
                <w:lang w:eastAsia="zh-CN"/>
              </w:rPr>
            </w:pPr>
            <w:r>
              <w:rPr>
                <w:rFonts w:hint="eastAsia" w:ascii="仿宋" w:eastAsia="仿宋"/>
                <w:b/>
                <w:sz w:val="21"/>
                <w:lang w:eastAsia="zh-CN"/>
              </w:rPr>
              <w:t>（</w:t>
            </w:r>
            <w:r>
              <w:rPr>
                <w:rFonts w:hint="eastAsia" w:ascii="仿宋" w:eastAsia="仿宋"/>
                <w:b/>
                <w:sz w:val="21"/>
                <w:lang w:val="en-US" w:eastAsia="zh-CN"/>
              </w:rPr>
              <w:t>元</w:t>
            </w:r>
            <w:r>
              <w:rPr>
                <w:rFonts w:hint="eastAsia" w:ascii="仿宋" w:eastAsia="仿宋"/>
                <w:b/>
                <w:sz w:val="21"/>
                <w:lang w:eastAsia="zh-CN"/>
              </w:rPr>
              <w:t>）</w:t>
            </w:r>
          </w:p>
        </w:tc>
        <w:tc>
          <w:tcPr>
            <w:tcW w:w="734" w:type="dxa"/>
            <w:tcBorders>
              <w:top w:val="single" w:color="auto" w:sz="8" w:space="0"/>
              <w:left w:val="nil"/>
              <w:bottom w:val="single" w:color="auto" w:sz="8" w:space="0"/>
              <w:right w:val="single" w:color="auto" w:sz="8" w:space="0"/>
            </w:tcBorders>
            <w:shd w:val="clear" w:color="auto" w:fill="auto"/>
            <w:vAlign w:val="center"/>
          </w:tcPr>
          <w:p>
            <w:pPr>
              <w:keepNext/>
              <w:widowControl/>
              <w:snapToGrid w:val="0"/>
              <w:spacing w:line="240" w:lineRule="auto"/>
              <w:ind w:left="0" w:leftChars="0" w:right="0" w:rightChars="0" w:firstLine="0" w:firstLineChars="0"/>
              <w:jc w:val="center"/>
              <w:rPr>
                <w:rFonts w:hint="eastAsia" w:ascii="仿宋" w:hAnsi="仿宋" w:eastAsia="仿宋" w:cs="仿宋"/>
                <w:b/>
                <w:bCs/>
                <w:color w:val="000000"/>
                <w:kern w:val="0"/>
                <w:sz w:val="21"/>
                <w:szCs w:val="21"/>
                <w:lang w:val="en-US" w:eastAsia="zh-CN" w:bidi="ar-SA"/>
              </w:rPr>
            </w:pPr>
            <w:r>
              <w:rPr>
                <w:rFonts w:hint="eastAsia" w:ascii="仿宋" w:hAnsi="仿宋" w:eastAsia="仿宋" w:cs="仿宋"/>
                <w:b/>
                <w:bCs/>
                <w:color w:val="000000"/>
                <w:kern w:val="0"/>
                <w:sz w:val="21"/>
                <w:szCs w:val="21"/>
                <w:lang w:val="en-US" w:eastAsia="zh-CN" w:bidi="ar-SA"/>
              </w:rPr>
              <w:t>备注</w:t>
            </w: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838" w:type="dxa"/>
            <w:gridSpan w:val="2"/>
            <w:tcBorders>
              <w:top w:val="nil"/>
              <w:left w:val="single" w:color="auto" w:sz="4" w:space="0"/>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rPr>
              <w:t>现金处理模块</w:t>
            </w:r>
          </w:p>
        </w:tc>
        <w:tc>
          <w:tcPr>
            <w:tcW w:w="0" w:type="auto"/>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标配</w:t>
            </w:r>
          </w:p>
        </w:tc>
        <w:tc>
          <w:tcPr>
            <w:tcW w:w="7152" w:type="dxa"/>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1.支持多面额钞票，6个币值（1元、5元、10元、20元、50元、100元）混合存款、取款、循环、清分；支持自动清点钞票功能；</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2.钞箱容量：单个钞箱容量3400张；</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4.可支持4个循环钞箱，1个只存钞箱，钞箱带锁；</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5.可实现单钞箱支持两个币种（钞箱容量将下降）；</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6.存款口最大容量：500张；</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7.取款口最大容量：300张；</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8.处理速度≥10张/秒；</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9.支持入钞口、出钞口、通道有钞检测；支持叠钞功能；存款口在进行存款交易时可实现不间断连续放钞；</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10.可实现钞票冠字号码识别功能；</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11.具有电动出钞闸门；</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12.维护方式：支持前维护和后维护；</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13.支持强制入钞功能；具有黑名单自动拒收功能，可以接收从应用程序传送过来的黑名单冠字号并加载到硬件模块；</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14.厂商免费提供验钞模块升级并按银行要求支持验钞模块远程升级；符合《人民币现金机具鉴别能力技术规范》金融行业标准（JR/T 0154—2017）及人民银行管理要求，并进入中国人民银行颁布的可采购名录；符合《不宜流通人民币纸币》金融行业标准（JR/T 0153—2017）等监管要求；</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15.能够记录冠字号照片和文字，生成FSN文件；支持自动以图像和文本格式保存当前出钞、存款和回收的所有纸币的冠字号；</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16.按照要求设置图像保存目录和向应用程序上送冠字号图像和文本信息等；能够记录冠字号照片和文字；如果钞票冠字号有两位不能识别，可用通配符“_”代替，超过两位不能识别需拒钞。</w:t>
            </w:r>
          </w:p>
        </w:tc>
        <w:tc>
          <w:tcPr>
            <w:tcW w:w="1173" w:type="dxa"/>
            <w:vMerge w:val="restart"/>
            <w:tcBorders>
              <w:top w:val="nil"/>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60000.00</w:t>
            </w:r>
          </w:p>
        </w:tc>
        <w:tc>
          <w:tcPr>
            <w:tcW w:w="1153" w:type="dxa"/>
            <w:vMerge w:val="restart"/>
            <w:tcBorders>
              <w:top w:val="nil"/>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restart"/>
            <w:tcBorders>
              <w:top w:val="nil"/>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restart"/>
            <w:tcBorders>
              <w:top w:val="nil"/>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816" w:type="dxa"/>
            <w:tcBorders>
              <w:top w:val="nil"/>
              <w:left w:val="single" w:color="auto" w:sz="4" w:space="0"/>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保险柜</w:t>
            </w:r>
          </w:p>
        </w:tc>
        <w:tc>
          <w:tcPr>
            <w:tcW w:w="0" w:type="auto"/>
            <w:gridSpan w:val="2"/>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标配</w:t>
            </w:r>
          </w:p>
        </w:tc>
        <w:tc>
          <w:tcPr>
            <w:tcW w:w="7152" w:type="dxa"/>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采用专用钢板,符合UL291 Level 1或CEN-L 标准,可防暴、防撬、防火。符合国家公安部门相关规范标准</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 每个保险柜均安装机械锁和机械密码锁。密码可调，机械锁符合GA/T 73相关要求。单独配置，钥匙不通用.锁具通过UL GROUP 2M 及Vds Class A等级</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 可兼容安装电子密码锁和动态密码锁安装设计</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816" w:type="dxa"/>
            <w:tcBorders>
              <w:top w:val="nil"/>
              <w:left w:val="single" w:color="auto" w:sz="4" w:space="0"/>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安全认证</w:t>
            </w:r>
          </w:p>
        </w:tc>
        <w:tc>
          <w:tcPr>
            <w:tcW w:w="0" w:type="auto"/>
            <w:gridSpan w:val="2"/>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标配</w:t>
            </w:r>
          </w:p>
        </w:tc>
        <w:tc>
          <w:tcPr>
            <w:tcW w:w="7152" w:type="dxa"/>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通过UL291认证、公安部认证、3C认证</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 符合GA1280一2015和GA745-2017标准要求</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 通过JR/T0154-2017《人民币现金机具鉴别能力技术规范》测试并提供检测报告</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816" w:type="dxa"/>
            <w:tcBorders>
              <w:top w:val="nil"/>
              <w:left w:val="single" w:color="auto" w:sz="4" w:space="0"/>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机柜</w:t>
            </w:r>
          </w:p>
        </w:tc>
        <w:tc>
          <w:tcPr>
            <w:tcW w:w="0" w:type="auto"/>
            <w:gridSpan w:val="2"/>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标配</w:t>
            </w:r>
          </w:p>
        </w:tc>
        <w:tc>
          <w:tcPr>
            <w:tcW w:w="7152" w:type="dxa"/>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整机采用优质钢材制造，坚硬厚实</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 防水、防锈、防腐、耐磨</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 模块全部采用拖拉式道轨维护，内部布线整齐规范</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 机柜外观：设计符合人体工学</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5. 地脚可调节</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6. 可提供大堂/穿墙两种形式的设备</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816" w:type="dxa"/>
            <w:tcBorders>
              <w:top w:val="nil"/>
              <w:left w:val="single" w:color="auto" w:sz="4" w:space="0"/>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非现主柜衔接</w:t>
            </w:r>
          </w:p>
        </w:tc>
        <w:tc>
          <w:tcPr>
            <w:tcW w:w="0" w:type="auto"/>
            <w:gridSpan w:val="2"/>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标配</w:t>
            </w:r>
          </w:p>
        </w:tc>
        <w:tc>
          <w:tcPr>
            <w:tcW w:w="7152" w:type="dxa"/>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具备USB口/串口等对外接口，能与银行现有非现主柜衔接，实现现金功能扩展</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 可选配串口服务器，可解决非现金主柜接口不足的问题</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816" w:type="dxa"/>
            <w:tcBorders>
              <w:top w:val="nil"/>
              <w:left w:val="single" w:color="auto" w:sz="4" w:space="0"/>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后台维护屏</w:t>
            </w:r>
          </w:p>
        </w:tc>
        <w:tc>
          <w:tcPr>
            <w:tcW w:w="0" w:type="auto"/>
            <w:gridSpan w:val="2"/>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标配</w:t>
            </w:r>
          </w:p>
        </w:tc>
        <w:tc>
          <w:tcPr>
            <w:tcW w:w="7152" w:type="dxa"/>
            <w:tcBorders>
              <w:top w:val="nil"/>
              <w:left w:val="nil"/>
              <w:bottom w:val="single" w:color="auto" w:sz="8"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1.后维护时为标配</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2.10.4寸后台维护触显屏</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3.支持1024*768辨率</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4.电容触摸显示屏;</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5.显示色彩：16.7M;</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6.触摸响应时间：＜15ms; 触摸精度：＜3.5mm;</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7.触摸免校准：安装驱动后，不需校准触摸需灵敏，无漂移现象。</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rPr>
            </w:pPr>
          </w:p>
        </w:tc>
        <w:tc>
          <w:tcPr>
            <w:tcW w:w="816" w:type="dxa"/>
            <w:tcBorders>
              <w:top w:val="nil"/>
              <w:left w:val="single" w:color="auto" w:sz="4" w:space="0"/>
              <w:bottom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扎把机</w:t>
            </w:r>
          </w:p>
        </w:tc>
        <w:tc>
          <w:tcPr>
            <w:tcW w:w="0" w:type="auto"/>
            <w:gridSpan w:val="2"/>
            <w:tcBorders>
              <w:top w:val="nil"/>
              <w:left w:val="nil"/>
              <w:bottom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标</w:t>
            </w:r>
            <w:r>
              <w:rPr>
                <w:rFonts w:hint="eastAsia" w:ascii="仿宋" w:hAnsi="仿宋" w:eastAsia="仿宋" w:cs="仿宋"/>
                <w:color w:val="000000"/>
                <w:kern w:val="0"/>
                <w:sz w:val="21"/>
                <w:szCs w:val="21"/>
              </w:rPr>
              <w:t>配</w:t>
            </w:r>
          </w:p>
        </w:tc>
        <w:tc>
          <w:tcPr>
            <w:tcW w:w="7152" w:type="dxa"/>
            <w:tcBorders>
              <w:top w:val="nil"/>
              <w:left w:val="nil"/>
              <w:bottom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支持现金捆扎；</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2. 适用范围：新旧版人民币0.1-100元面额和各种外币纸币；</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3. 捆扎速度：≤2秒/把；</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4. 捆扎张数：100张；</w:t>
            </w:r>
            <w:r>
              <w:rPr>
                <w:rFonts w:hint="eastAsia" w:ascii="仿宋" w:hAnsi="仿宋" w:eastAsia="仿宋" w:cs="仿宋"/>
                <w:color w:val="000000"/>
                <w:kern w:val="0"/>
                <w:sz w:val="21"/>
                <w:szCs w:val="21"/>
              </w:rPr>
              <w:br w:type="textWrapping"/>
            </w:r>
            <w:r>
              <w:rPr>
                <w:rFonts w:hint="eastAsia" w:ascii="仿宋" w:hAnsi="仿宋" w:eastAsia="仿宋" w:cs="仿宋"/>
                <w:color w:val="000000"/>
                <w:kern w:val="0"/>
                <w:sz w:val="21"/>
                <w:szCs w:val="21"/>
              </w:rPr>
              <w:t>5. 技术特点：捆扎结实、平整，符合人行入库标准；</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657" w:type="dxa"/>
            <w:vMerge w:val="continue"/>
            <w:tcBorders>
              <w:left w:val="single" w:color="auto" w:sz="8"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rPr>
            </w:pPr>
          </w:p>
        </w:tc>
        <w:tc>
          <w:tcPr>
            <w:tcW w:w="816"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SIU</w:t>
            </w:r>
          </w:p>
        </w:tc>
        <w:tc>
          <w:tcPr>
            <w:tcW w:w="0" w:type="auto"/>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标</w:t>
            </w:r>
            <w:r>
              <w:rPr>
                <w:rFonts w:hint="eastAsia" w:ascii="仿宋" w:hAnsi="仿宋" w:eastAsia="仿宋" w:cs="仿宋"/>
                <w:color w:val="000000"/>
                <w:kern w:val="0"/>
                <w:sz w:val="21"/>
                <w:szCs w:val="21"/>
              </w:rPr>
              <w:t>配</w:t>
            </w:r>
          </w:p>
        </w:tc>
        <w:tc>
          <w:tcPr>
            <w:tcW w:w="7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1. 每一个需要与客户交互的设备模块支持通过LED指示灯方式进行操作指引，灯光绿色柔和；</w:t>
            </w:r>
          </w:p>
        </w:tc>
        <w:tc>
          <w:tcPr>
            <w:tcW w:w="117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rPr>
            </w:pPr>
          </w:p>
        </w:tc>
        <w:tc>
          <w:tcPr>
            <w:tcW w:w="1153"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c>
          <w:tcPr>
            <w:tcW w:w="1117"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rPr>
            </w:pPr>
          </w:p>
        </w:tc>
        <w:tc>
          <w:tcPr>
            <w:tcW w:w="734" w:type="dxa"/>
            <w:vMerge w:val="continue"/>
            <w:tcBorders>
              <w:left w:val="nil"/>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rPr>
            </w:pPr>
          </w:p>
        </w:tc>
      </w:tr>
      <w:tr>
        <w:tblPrEx>
          <w:tblCellMar>
            <w:top w:w="0" w:type="dxa"/>
            <w:left w:w="108" w:type="dxa"/>
            <w:bottom w:w="0" w:type="dxa"/>
            <w:right w:w="108" w:type="dxa"/>
          </w:tblCellMar>
        </w:tblPrEx>
        <w:trPr>
          <w:trHeight w:val="0" w:hRule="atLeast"/>
          <w:tblHeader/>
          <w:tblCellSpacing w:w="11" w:type="dxa"/>
          <w:jc w:val="center"/>
        </w:trPr>
        <w:tc>
          <w:tcPr>
            <w:tcW w:w="149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其他</w:t>
            </w:r>
          </w:p>
        </w:tc>
        <w:tc>
          <w:tcPr>
            <w:tcW w:w="120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left"/>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标配</w:t>
            </w:r>
          </w:p>
        </w:tc>
        <w:tc>
          <w:tcPr>
            <w:tcW w:w="715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left"/>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设备免费维保时间≥3年（供应商可根据自身条件进行延长维保时间）</w:t>
            </w:r>
          </w:p>
        </w:tc>
        <w:tc>
          <w:tcPr>
            <w:tcW w:w="1173" w:type="dxa"/>
            <w:vMerge w:val="continue"/>
            <w:tcBorders>
              <w:left w:val="nil"/>
              <w:bottom w:val="single" w:color="auto" w:sz="4"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lang w:val="en-US" w:eastAsia="zh-CN"/>
              </w:rPr>
            </w:pPr>
          </w:p>
        </w:tc>
        <w:tc>
          <w:tcPr>
            <w:tcW w:w="1153" w:type="dxa"/>
            <w:vMerge w:val="continue"/>
            <w:tcBorders>
              <w:left w:val="nil"/>
              <w:bottom w:val="single" w:color="auto" w:sz="4"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lang w:val="en-US" w:eastAsia="zh-CN"/>
              </w:rPr>
            </w:pPr>
          </w:p>
        </w:tc>
        <w:tc>
          <w:tcPr>
            <w:tcW w:w="1117" w:type="dxa"/>
            <w:vMerge w:val="continue"/>
            <w:tcBorders>
              <w:left w:val="nil"/>
              <w:bottom w:val="single" w:color="auto" w:sz="4"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rPr>
            </w:pPr>
          </w:p>
        </w:tc>
        <w:tc>
          <w:tcPr>
            <w:tcW w:w="734" w:type="dxa"/>
            <w:vMerge w:val="continue"/>
            <w:tcBorders>
              <w:left w:val="nil"/>
              <w:bottom w:val="single" w:color="auto" w:sz="4" w:space="0"/>
              <w:right w:val="single" w:color="auto" w:sz="8"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lang w:val="en-US" w:eastAsia="zh-CN"/>
              </w:rPr>
            </w:pPr>
          </w:p>
        </w:tc>
      </w:tr>
      <w:tr>
        <w:tblPrEx>
          <w:tblCellMar>
            <w:top w:w="0" w:type="dxa"/>
            <w:left w:w="108" w:type="dxa"/>
            <w:bottom w:w="0" w:type="dxa"/>
            <w:right w:w="108" w:type="dxa"/>
          </w:tblCellMar>
        </w:tblPrEx>
        <w:trPr>
          <w:trHeight w:val="0" w:hRule="atLeast"/>
          <w:tblHeader/>
          <w:tblCellSpacing w:w="11" w:type="dxa"/>
          <w:jc w:val="center"/>
        </w:trPr>
        <w:tc>
          <w:tcPr>
            <w:tcW w:w="2723"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lang w:val="en-US" w:eastAsia="zh-CN"/>
              </w:rPr>
              <w:t>供应商全称</w:t>
            </w:r>
          </w:p>
        </w:tc>
        <w:tc>
          <w:tcPr>
            <w:tcW w:w="11417"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lang w:val="en-US" w:eastAsia="zh-CN"/>
              </w:rPr>
            </w:pPr>
          </w:p>
        </w:tc>
      </w:tr>
      <w:tr>
        <w:tblPrEx>
          <w:tblCellMar>
            <w:top w:w="0" w:type="dxa"/>
            <w:left w:w="108" w:type="dxa"/>
            <w:bottom w:w="0" w:type="dxa"/>
            <w:right w:w="108" w:type="dxa"/>
          </w:tblCellMar>
        </w:tblPrEx>
        <w:trPr>
          <w:trHeight w:val="0" w:hRule="atLeast"/>
          <w:tblHeader/>
          <w:tblCellSpacing w:w="11" w:type="dxa"/>
          <w:jc w:val="center"/>
        </w:trPr>
        <w:tc>
          <w:tcPr>
            <w:tcW w:w="2723"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default"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lang w:val="en-US" w:eastAsia="zh-CN"/>
              </w:rPr>
              <w:t>联系人及电话</w:t>
            </w:r>
          </w:p>
        </w:tc>
        <w:tc>
          <w:tcPr>
            <w:tcW w:w="11417"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lang w:val="en-US" w:eastAsia="zh-CN"/>
              </w:rPr>
            </w:pPr>
          </w:p>
        </w:tc>
      </w:tr>
      <w:tr>
        <w:tblPrEx>
          <w:tblCellMar>
            <w:top w:w="0" w:type="dxa"/>
            <w:left w:w="108" w:type="dxa"/>
            <w:bottom w:w="0" w:type="dxa"/>
            <w:right w:w="108" w:type="dxa"/>
          </w:tblCellMar>
        </w:tblPrEx>
        <w:trPr>
          <w:trHeight w:val="0" w:hRule="atLeast"/>
          <w:tblHeader/>
          <w:tblCellSpacing w:w="11" w:type="dxa"/>
          <w:jc w:val="center"/>
        </w:trPr>
        <w:tc>
          <w:tcPr>
            <w:tcW w:w="2723"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报价日期</w:t>
            </w:r>
          </w:p>
        </w:tc>
        <w:tc>
          <w:tcPr>
            <w:tcW w:w="11417"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right"/>
              <w:rPr>
                <w:rFonts w:hint="eastAsia" w:ascii="仿宋" w:hAnsi="仿宋" w:eastAsia="仿宋" w:cs="仿宋"/>
                <w:color w:val="000000"/>
                <w:kern w:val="0"/>
                <w:sz w:val="21"/>
                <w:szCs w:val="21"/>
                <w:lang w:val="en-US" w:eastAsia="zh-CN"/>
              </w:rPr>
            </w:pPr>
          </w:p>
        </w:tc>
      </w:tr>
      <w:tr>
        <w:tblPrEx>
          <w:tblCellMar>
            <w:top w:w="0" w:type="dxa"/>
            <w:left w:w="108" w:type="dxa"/>
            <w:bottom w:w="0" w:type="dxa"/>
            <w:right w:w="108" w:type="dxa"/>
          </w:tblCellMar>
        </w:tblPrEx>
        <w:trPr>
          <w:trHeight w:val="0" w:hRule="atLeast"/>
          <w:tblHeader/>
          <w:tblCellSpacing w:w="11" w:type="dxa"/>
          <w:jc w:val="center"/>
        </w:trPr>
        <w:tc>
          <w:tcPr>
            <w:tcW w:w="14162"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注：</w:t>
            </w:r>
            <w:r>
              <w:rPr>
                <w:rFonts w:hint="eastAsia" w:ascii="仿宋" w:hAnsi="仿宋" w:eastAsia="仿宋" w:cs="仿宋"/>
                <w:color w:val="000000"/>
                <w:kern w:val="0"/>
                <w:sz w:val="21"/>
                <w:szCs w:val="21"/>
                <w:highlight w:val="none"/>
                <w:lang w:val="en-US" w:eastAsia="zh-CN"/>
              </w:rPr>
              <w:t>1.报价为供应商所能承受的一次性、最低、最终报价，以人民币为结算币种，包括但不限于税费、交通费、安装费、运输费、设备维保费等因履行本项目产生的所有费用，并由成交供应商开具正式发票。</w:t>
            </w:r>
          </w:p>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2.报价内容需列明：总价、联系人及联系方式等详细信息。</w:t>
            </w:r>
          </w:p>
          <w:p>
            <w:pPr>
              <w:keepNext/>
              <w:widowControl/>
              <w:snapToGrid w:val="0"/>
              <w:spacing w:line="240" w:lineRule="auto"/>
              <w:ind w:left="0" w:leftChars="0" w:right="0" w:rightChars="0" w:firstLine="0" w:firstLineChars="0"/>
              <w:jc w:val="left"/>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highlight w:val="none"/>
                <w:lang w:val="en-US" w:eastAsia="zh-CN"/>
              </w:rPr>
              <w:t>3.质保金约定：项目验收合格正式交付后，我单位将暂扣本次成交总价格的5%作为质量保证金。待整体质保期满，产品无质量问题、无售后纠纷，我单位将无息一次性返还质保金。若质保期内出现质量故障、售后不达标等问题，我单位有权从质保金中扣除相应费用，不足部分向贵单位追偿。</w:t>
            </w:r>
          </w:p>
        </w:tc>
      </w:tr>
    </w:tbl>
    <w:p>
      <w:bookmarkStart w:id="0" w:name="_GoBack"/>
      <w:bookmarkEnd w:id="0"/>
    </w:p>
    <w:sectPr>
      <w:pgSz w:w="16838" w:h="11906" w:orient="landscape"/>
      <w:pgMar w:top="1236" w:right="1440" w:bottom="123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C39CB"/>
    <w:rsid w:val="23851B72"/>
    <w:rsid w:val="37A412D6"/>
    <w:rsid w:val="7C6C3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Times New Roman" w:hAnsi="Times New Roman"/>
    </w:rPr>
  </w:style>
  <w:style w:type="paragraph" w:styleId="3">
    <w:name w:val="Body Text Indent"/>
    <w:basedOn w:val="1"/>
    <w:next w:val="1"/>
    <w:qFormat/>
    <w:uiPriority w:val="0"/>
    <w:pPr>
      <w:adjustRightInd w:val="0"/>
      <w:snapToGrid w:val="0"/>
      <w:spacing w:line="520" w:lineRule="atLeast"/>
      <w:ind w:firstLine="600" w:firstLineChars="200"/>
    </w:pPr>
    <w:rPr>
      <w:rFonts w:ascii="仿宋_GB2312" w:eastAsia="仿宋_GB2312"/>
      <w:sz w:val="30"/>
      <w:szCs w:val="20"/>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2026-07-21T13:46:00Z</dcterms:created>
  <dc:creator>造价咨询于恒</dc:creator>
  <cp:lastModifiedBy>zhangmiaomiao</cp:lastModifiedBy>
  <dcterms:modified xsi:type="dcterms:W3CDTF">2026-07-22T02:04:50Z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9DD2437B2C634EEE986BD5E61FAED33C_11</vt:lpwstr>
  </property>
  <property fmtid="{D5CDD505-2E9C-101B-9397-08002B2CF9AE}" pid="4" name="KSOTemplateDocerSaveRecord">
    <vt:lpwstr>eyJoZGlkIjoiOWEzM2EyNDk0NjY3NmM4NGVjM2UxYTc4NDMyOWRiYjgiLCJ1c2VySWQiOiI1NjcxOTcwODUifQ==</vt:lpwstr>
  </property>
</Properties>
</file>